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pStyle w:val="CoverTitle"/>
      </w:pPr>
      <w:r>
        <w:t>Business Plan</w:t>
      </w:r>
    </w:p>
    <w:p>
      <w:pPr>
        <w:pStyle w:val="CoverTitle"/>
      </w:pPr>
      <w:r>
        <w:t>&amp; SBA 7(a) Loan Request</w:t>
      </w:r>
    </w:p>
    <w:p>
      <w:pPr>
        <w:pStyle w:val="CoverSub"/>
      </w:pPr>
      <w:r>
        <w:t>{{storeCompanyName.value}}</w:t>
      </w:r>
    </w:p>
    <w:p>
      <w:pPr/>
      <w:r>
        <w:t>{{storeCompanyDescription.value}}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Loan program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SBA 7(a)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Amount requested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{{storeCompanyAntPrSize.loan_invest}}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Industry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{{subIndustryTranslation}}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Location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{{storeCompanyLocationStructure.country.label}}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before="60"/>
            </w:pPr>
            <w:r/>
            <w:r>
              <w:rPr>
                <w:sz w:val="19"/>
                <w:color w:val="5D6675" w:themeColor="accent4"/>
              </w:rPr>
              <w:t>Date</w:t>
            </w:r>
          </w:p>
        </w:tc>
        <w:tc>
          <w:tcPr>
            <w:tcW w:type="dxa" w:w="5159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{{storeReportDate.value}}</w:t>
            </w:r>
          </w:p>
        </w:tc>
      </w:tr>
    </w:tbl>
    <w:p>
      <w:pPr>
        <w:spacing w:after="120" w:line="120" w:lineRule="exact"/>
      </w:pPr>
    </w:p>
    <w:p>
      <w:r>
        <w:br w:type="page"/>
      </w:r>
    </w:p>
    <w:p>
      <w:pPr>
        <w:pStyle w:val="Kicker"/>
      </w:pPr>
      <w:r>
        <w:t>Contents</w:t>
      </w:r>
    </w:p>
    <w:p>
      <w:pPr>
        <w:pStyle w:val="Heading1"/>
        <w:pBdr>
          <w:bottom w:val="single" w:sz="12" w:space="4" w:color="2EDAE5" w:themeColor="accent3"/>
        </w:pBdr>
      </w:pPr>
      <w:r>
        <w:t>Table of Contents</w:t>
      </w:r>
    </w:p>
    <w:p>
      <w:pPr>
        <w:spacing w:after="0"/>
      </w:pPr>
      <w:r>
        <w:fldChar w:fldCharType="begin"/>
        <w:instrText xml:space="preserve"> TOC \o "1-1" \h \z \u </w:instrText>
        <w:fldChar w:fldCharType="separate"/>
      </w:r>
    </w:p>
    <w:p>
      <w:pPr>
        <w:spacing w:after="120"/>
      </w:pPr>
      <w:hyperlink w:anchor="sec1" w:history="1">
        <w:r>
          <w:rPr>
            <w:color w:val="13294B" w:themeColor="accent1"/>
            <w:sz w:val="21"/>
          </w:rPr>
          <w:t xml:space="preserve">1.   Executive Summary</w:t>
        </w:r>
      </w:hyperlink>
      <w:r>
        <w:rPr>
          <w:sz w:val="16"/>
          <w:color w:val="5D6675" w:themeColor="accent4"/>
        </w:rPr>
        <w:t xml:space="preserve">     Section 1</w:t>
      </w:r>
    </w:p>
    <w:p>
      <w:pPr>
        <w:spacing w:after="120"/>
      </w:pPr>
      <w:hyperlink w:anchor="sec2" w:history="1">
        <w:r>
          <w:rPr>
            <w:color w:val="13294B" w:themeColor="accent1"/>
            <w:sz w:val="21"/>
          </w:rPr>
          <w:t xml:space="preserve">2.   Company Description</w:t>
        </w:r>
      </w:hyperlink>
      <w:r>
        <w:rPr>
          <w:sz w:val="16"/>
          <w:color w:val="5D6675" w:themeColor="accent4"/>
        </w:rPr>
        <w:t xml:space="preserve">     Section 2</w:t>
      </w:r>
    </w:p>
    <w:p>
      <w:pPr>
        <w:spacing w:after="120"/>
      </w:pPr>
      <w:hyperlink w:anchor="sec3" w:history="1">
        <w:r>
          <w:rPr>
            <w:color w:val="13294B" w:themeColor="accent1"/>
            <w:sz w:val="21"/>
          </w:rPr>
          <w:t xml:space="preserve">3.   Market Analysis</w:t>
        </w:r>
      </w:hyperlink>
      <w:r>
        <w:rPr>
          <w:sz w:val="16"/>
          <w:color w:val="5D6675" w:themeColor="accent4"/>
        </w:rPr>
        <w:t xml:space="preserve">     Section 3</w:t>
      </w:r>
    </w:p>
    <w:p>
      <w:pPr>
        <w:spacing w:after="120"/>
      </w:pPr>
      <w:hyperlink w:anchor="sec4" w:history="1">
        <w:r>
          <w:rPr>
            <w:color w:val="13294B" w:themeColor="accent1"/>
            <w:sz w:val="21"/>
          </w:rPr>
          <w:t xml:space="preserve">4.   Organization &amp; Management</w:t>
        </w:r>
      </w:hyperlink>
      <w:r>
        <w:rPr>
          <w:sz w:val="16"/>
          <w:color w:val="5D6675" w:themeColor="accent4"/>
        </w:rPr>
        <w:t xml:space="preserve">     Section 4</w:t>
      </w:r>
    </w:p>
    <w:p>
      <w:pPr>
        <w:spacing w:after="120"/>
      </w:pPr>
      <w:hyperlink w:anchor="sec5" w:history="1">
        <w:r>
          <w:rPr>
            <w:color w:val="13294B" w:themeColor="accent1"/>
            <w:sz w:val="21"/>
          </w:rPr>
          <w:t xml:space="preserve">5.   Products &amp; Services</w:t>
        </w:r>
      </w:hyperlink>
      <w:r>
        <w:rPr>
          <w:sz w:val="16"/>
          <w:color w:val="5D6675" w:themeColor="accent4"/>
        </w:rPr>
        <w:t xml:space="preserve">     Section 5</w:t>
      </w:r>
    </w:p>
    <w:p>
      <w:pPr>
        <w:spacing w:after="120"/>
      </w:pPr>
      <w:hyperlink w:anchor="sec6" w:history="1">
        <w:r>
          <w:rPr>
            <w:color w:val="13294B" w:themeColor="accent1"/>
            <w:sz w:val="21"/>
          </w:rPr>
          <w:t xml:space="preserve">6.   Marketing &amp; Sales</w:t>
        </w:r>
      </w:hyperlink>
      <w:r>
        <w:rPr>
          <w:sz w:val="16"/>
          <w:color w:val="5D6675" w:themeColor="accent4"/>
        </w:rPr>
        <w:t xml:space="preserve">     Section 6</w:t>
      </w:r>
    </w:p>
    <w:p>
      <w:pPr>
        <w:spacing w:after="120"/>
      </w:pPr>
      <w:hyperlink w:anchor="sec7" w:history="1">
        <w:r>
          <w:rPr>
            <w:color w:val="13294B" w:themeColor="accent1"/>
            <w:sz w:val="21"/>
          </w:rPr>
          <w:t xml:space="preserve">7.   Funding Request &amp; Use of Funds</w:t>
        </w:r>
      </w:hyperlink>
      <w:r>
        <w:rPr>
          <w:sz w:val="16"/>
          <w:color w:val="5D6675" w:themeColor="accent4"/>
        </w:rPr>
        <w:t xml:space="preserve">     Section 7</w:t>
      </w:r>
    </w:p>
    <w:p>
      <w:pPr>
        <w:spacing w:after="120"/>
      </w:pPr>
      <w:hyperlink w:anchor="sec8" w:history="1">
        <w:r>
          <w:rPr>
            <w:color w:val="13294B" w:themeColor="accent1"/>
            <w:sz w:val="21"/>
          </w:rPr>
          <w:t xml:space="preserve">8.   Financial Projections: Income</w:t>
        </w:r>
      </w:hyperlink>
      <w:r>
        <w:rPr>
          <w:sz w:val="16"/>
          <w:color w:val="5D6675" w:themeColor="accent4"/>
        </w:rPr>
        <w:t xml:space="preserve">     Section 8</w:t>
      </w:r>
    </w:p>
    <w:p>
      <w:pPr>
        <w:spacing w:after="120"/>
      </w:pPr>
      <w:hyperlink w:anchor="sec9" w:history="1">
        <w:r>
          <w:rPr>
            <w:color w:val="13294B" w:themeColor="accent1"/>
            <w:sz w:val="21"/>
          </w:rPr>
          <w:t xml:space="preserve">9.   Financial Projections: Position &amp; Cash</w:t>
        </w:r>
      </w:hyperlink>
      <w:r>
        <w:rPr>
          <w:sz w:val="16"/>
          <w:color w:val="5D6675" w:themeColor="accent4"/>
        </w:rPr>
        <w:t xml:space="preserve">     Section 8 (cont.)</w:t>
      </w:r>
    </w:p>
    <w:p>
      <w:pPr>
        <w:spacing w:after="120"/>
      </w:pPr>
      <w:hyperlink w:anchor="sec10" w:history="1">
        <w:r>
          <w:rPr>
            <w:color w:val="13294B" w:themeColor="accent1"/>
            <w:sz w:val="21"/>
          </w:rPr>
          <w:t xml:space="preserve">10.   Repayment Analysis</w:t>
        </w:r>
      </w:hyperlink>
      <w:r>
        <w:rPr>
          <w:sz w:val="16"/>
          <w:color w:val="5D6675" w:themeColor="accent4"/>
        </w:rPr>
        <w:t xml:space="preserve">     Section 8 (cont.)</w:t>
      </w:r>
    </w:p>
    <w:p>
      <w:pPr>
        <w:spacing w:after="120"/>
      </w:pPr>
      <w:hyperlink w:anchor="sec11" w:history="1">
        <w:r>
          <w:rPr>
            <w:color w:val="13294B" w:themeColor="accent1"/>
            <w:sz w:val="21"/>
          </w:rPr>
          <w:t xml:space="preserve">11.   Collateral, Debt &amp; Guaranty</w:t>
        </w:r>
      </w:hyperlink>
      <w:r>
        <w:rPr>
          <w:sz w:val="16"/>
          <w:color w:val="5D6675" w:themeColor="accent4"/>
        </w:rPr>
        <w:t xml:space="preserve">     Section 9</w:t>
      </w:r>
    </w:p>
    <w:p>
      <w:pPr>
        <w:spacing w:after="120"/>
      </w:pPr>
      <w:hyperlink w:anchor="sec12" w:history="1">
        <w:r>
          <w:rPr>
            <w:color w:val="13294B" w:themeColor="accent1"/>
            <w:sz w:val="21"/>
          </w:rPr>
          <w:t xml:space="preserve">12.   Appendix &amp; Required Documents</w:t>
        </w:r>
      </w:hyperlink>
      <w:r>
        <w:rPr>
          <w:sz w:val="16"/>
          <w:color w:val="5D6675" w:themeColor="accent4"/>
        </w:rPr>
        <w:t xml:space="preserve">     Section 10</w:t>
      </w:r>
    </w:p>
    <w:p>
      <w:pPr>
        <w:spacing w:after="0"/>
      </w:pPr>
      <w:r>
        <w:fldChar w:fldCharType="end"/>
      </w:r>
    </w:p>
    <w:p>
      <w:pPr>
        <w:pStyle w:val="Note"/>
      </w:pPr>
      <w:r>
        <w:t>Under SOP 50 10 8, cash flow is the primary source of repayment, and the financial section demonstrates the business can service the loan from operations.</w:t>
      </w:r>
    </w:p>
    <w:p>
      <w:r>
        <w:br w:type="page"/>
      </w:r>
    </w:p>
    <w:p>
      <w:pPr>
        <w:pStyle w:val="Kicker"/>
      </w:pPr>
      <w:r>
        <w:t>Section 1</w:t>
      </w:r>
    </w:p>
    <w:p>
      <w:bookmarkStart w:id="1" w:name="sec1"/>
      <w:pPr>
        <w:pStyle w:val="Heading1"/>
        <w:pBdr>
          <w:bottom w:val="single" w:sz="12" w:space="4" w:color="2EDAE5" w:themeColor="accent3"/>
        </w:pBdr>
      </w:pPr>
      <w:r>
        <w:t>Executive Summary</w:t>
      </w:r>
      <w:bookmarkEnd w:id="1"/>
    </w:p>
    <w:p>
      <w:pPr>
        <w:pStyle w:val="Heading2"/>
      </w:pPr>
      <w:r>
        <w:t>{{sbaContent.s03_overview_title}}</w:t>
      </w:r>
    </w:p>
    <w:p>
      <w:pPr/>
      <w:r>
        <w:t>{{storeCompanyMission.value}}</w:t>
      </w:r>
    </w:p>
    <w:p>
      <w:pPr>
        <w:pStyle w:val="Heading2"/>
      </w:pPr>
      <w:r>
        <w:t>{{sbaContent.s03_repayment_title}}</w:t>
      </w:r>
    </w:p>
    <w:p>
      <w:pPr/>
      <w:r>
        <w:t>Revenue grows from {{storeRevenues.Total.amount_y1}} (Y1) to {{storeRevenues.Total.amount_y3}} (Y3); EBITDA {{storeEBITDA.Total.amount_y1}} to {{storeEBITDA.Total.amount_y3}}; debt-service coverage {{storeCAPITAL.DSCR.base_y3}} by Year 3.</w:t>
      </w:r>
    </w:p>
    <w:p>
      <w:pPr>
        <w:pStyle w:val="Heading2"/>
      </w:pPr>
      <w:r>
        <w:t>{{sbaContent.s03_request_title}}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Amount requested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{{storeCompanyAntPrSize.loan_invest}}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Total CAPEX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{{storeCAPEX.Total.amount_CAPEX}}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Working-capital buffer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{{storeCAPITAL.WCBuffer.amount}}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Modeled rate / term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{{sbaData.interest_rate}} / {{sbaData.loan_term_years}} yr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Owner equity injection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{{sbaData.equity_injection}} ({{calc.equity_injection_pct}})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before="60"/>
            </w:pPr>
            <w:r/>
            <w:r>
              <w:rPr>
                <w:sz w:val="19"/>
                <w:color w:val="5D6675" w:themeColor="accent4"/>
              </w:rPr>
              <w:t>Jobs created / retained</w:t>
            </w:r>
          </w:p>
        </w:tc>
        <w:tc>
          <w:tcPr>
            <w:tcW w:type="dxa" w:w="5159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{{sbaData.jobs_created_retained}}</w:t>
            </w:r>
          </w:p>
        </w:tc>
      </w:tr>
    </w:tbl>
    <w:p>
      <w:pPr>
        <w:spacing w:after="120" w:line="120" w:lineRule="exact"/>
      </w:pPr>
    </w:p>
    <w:p>
      <w:pPr>
        <w:pStyle w:val="Kicker"/>
      </w:pPr>
      <w:r>
        <w:t>Section 2</w:t>
      </w:r>
    </w:p>
    <w:p>
      <w:bookmarkStart w:id="2" w:name="sec2"/>
      <w:pPr>
        <w:pStyle w:val="Heading1"/>
        <w:pBdr>
          <w:bottom w:val="single" w:sz="12" w:space="4" w:color="2EDAE5" w:themeColor="accent3"/>
        </w:pBdr>
      </w:pPr>
      <w:r>
        <w:t>Company Description</w:t>
      </w:r>
      <w:bookmarkEnd w:id="2"/>
    </w:p>
    <w:p>
      <w:pPr>
        <w:pStyle w:val="Heading2"/>
      </w:pPr>
      <w:r>
        <w:t>{{sbaContent.s04_overview_title}}</w:t>
      </w:r>
    </w:p>
    <w:p>
      <w:pPr/>
      <w:r>
        <w:t>{{calc.general_overview}}</w:t>
      </w:r>
    </w:p>
    <w:p>
      <w:pPr>
        <w:pStyle w:val="Heading2"/>
      </w:pPr>
      <w:r>
        <w:t>{{sbaContent.s04_vision_title}}</w:t>
      </w:r>
    </w:p>
    <w:p>
      <w:pPr/>
      <w:r>
        <w:t>{{storeCompanyVision.value}}</w:t>
      </w:r>
    </w:p>
    <w:p>
      <w:pPr>
        <w:pStyle w:val="Heading2"/>
      </w:pPr>
      <w:r>
        <w:t>{{sbaContent.s04_ownership_title}}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2353"/>
        <w:gridCol w:w="2353"/>
        <w:gridCol w:w="2353"/>
        <w:gridCol w:w="2353"/>
      </w:tblGrid>
      <w:tr>
        <w:trPr>
          <w:cantSplit/>
        </w:trPr>
        <w:tc>
          <w:tcPr>
            <w:tcW w:type="dxa" w:w="3118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Owner</w:t>
            </w:r>
          </w:p>
        </w:tc>
        <w:tc>
          <w:tcPr>
            <w:tcW w:type="dxa" w:w="3118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Role</w:t>
            </w:r>
          </w:p>
        </w:tc>
        <w:tc>
          <w:tcPr>
            <w:tcW w:type="dxa" w:w="1247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%</w:t>
            </w:r>
          </w:p>
        </w:tc>
        <w:tc>
          <w:tcPr>
            <w:tcW w:type="dxa" w:w="1928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Guarantor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after="60" w:before="60"/>
            </w:pPr>
            <w:r/>
            <w:r>
              <w:rPr>
                <w:sz w:val="19"/>
              </w:rPr>
              <w:t>{{yourInformation.name}}</w:t>
            </w:r>
          </w:p>
        </w:tc>
        <w:tc>
          <w:tcPr>
            <w:tcW w:type="dxa" w:w="3118"/>
          </w:tcPr>
          <w:p>
            <w:pPr>
              <w:spacing w:after="60" w:before="60"/>
            </w:pPr>
            <w:r/>
            <w:r>
              <w:rPr>
                <w:sz w:val="19"/>
              </w:rPr>
              <w:t>{{yourInformation.role}}</w:t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{{sbaData.ownership_percent}}</w:t>
            </w:r>
          </w:p>
        </w:tc>
        <w:tc>
          <w:tcPr>
            <w:tcW w:type="dxa" w:w="1928"/>
          </w:tcPr>
          <w:p>
            <w:pPr>
              <w:spacing w:after="60" w:before="60"/>
            </w:pPr>
            <w:r/>
            <w:r>
              <w:rPr>
                <w:sz w:val="19"/>
              </w:rPr>
              <w:t>{{sbaData.guarantor}}</w:t>
            </w:r>
          </w:p>
        </w:tc>
      </w:tr>
    </w:tbl>
    <w:p>
      <w:pPr>
        <w:spacing w:after="120" w:line="120" w:lineRule="exact"/>
      </w:pPr>
    </w:p>
    <w:p>
      <w:pPr>
        <w:pStyle w:val="Heading2"/>
      </w:pPr>
      <w:r>
        <w:t>{{sbaContent.s04_details_title}}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Sector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{{storeCompanyIndustryStructure.sector.label}}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Sub-industry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{{subIndustryTranslation}}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Location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{{storeCompanyLocationStructure.country.label}}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before="60"/>
            </w:pPr>
            <w:r/>
            <w:r>
              <w:rPr>
                <w:sz w:val="19"/>
                <w:color w:val="5D6675" w:themeColor="accent4"/>
              </w:rPr>
              <w:t>Entity type / formation / EIN</w:t>
            </w:r>
          </w:p>
        </w:tc>
        <w:tc>
          <w:tcPr>
            <w:tcW w:type="dxa" w:w="5159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{{sbaData.entity_type}} / {{sbaData.formation_date}} / {{sbaData.ein}}</w:t>
            </w:r>
          </w:p>
        </w:tc>
      </w:tr>
    </w:tbl>
    <w:p>
      <w:pPr>
        <w:spacing w:after="120" w:line="120" w:lineRule="exact"/>
      </w:pPr>
    </w:p>
    <w:p>
      <w:pPr>
        <w:pStyle w:val="Kicker"/>
      </w:pPr>
      <w:r>
        <w:t>Section 3</w:t>
      </w:r>
    </w:p>
    <w:p>
      <w:bookmarkStart w:id="3" w:name="sec3"/>
      <w:pPr>
        <w:pStyle w:val="Heading1"/>
        <w:pBdr>
          <w:bottom w:val="single" w:sz="12" w:space="4" w:color="2EDAE5" w:themeColor="accent3"/>
        </w:pBdr>
      </w:pPr>
      <w:r>
        <w:t>Market Analysis</w:t>
      </w:r>
      <w:bookmarkEnd w:id="3"/>
    </w:p>
    <w:p>
      <w:pPr>
        <w:pStyle w:val="Heading2"/>
      </w:pPr>
      <w:r>
        <w:t>{{sbaContent.s05_market_title}}</w:t>
      </w:r>
    </w:p>
    <w:p>
      <w:pPr/>
      <w:r>
        <w:t>Total addressable market {{storeMarketRevenue.bln}}, growing at {{storeMarketRevenue.cagr}} per year. Serviceable addressable market {{calc.sam_value}}.</w:t>
      </w:r>
    </w:p>
    <w:p>
      <w:pPr>
        <w:pStyle w:val="Small"/>
      </w:pPr>
      <w:r>
        <w:t>Source: {{storeMarketRevenue.source}}</w:t>
      </w:r>
    </w:p>
    <w:p>
      <w:pPr>
        <w:pStyle w:val="Heading2"/>
      </w:pPr>
      <w:r>
        <w:t>{{sbaContent.s05_benchmarks_title}}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3137"/>
        <w:gridCol w:w="3137"/>
        <w:gridCol w:w="3137"/>
      </w:tblGrid>
      <w:tr>
        <w:trPr>
          <w:cantSplit/>
        </w:trPr>
        <w:tc>
          <w:tcPr>
            <w:tcW w:type="dxa" w:w="3118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Gross margin</w:t>
            </w:r>
          </w:p>
        </w:tc>
        <w:tc>
          <w:tcPr>
            <w:tcW w:type="dxa" w:w="3118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EBITDA margin</w:t>
            </w:r>
          </w:p>
        </w:tc>
        <w:tc>
          <w:tcPr>
            <w:tcW w:type="dxa" w:w="317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Net margin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{{storeBenchmark.gross_margin}}</w:t>
            </w:r>
          </w:p>
        </w:tc>
        <w:tc>
          <w:tcPr>
            <w:tcW w:type="dxa" w:w="3118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{{storeBenchmark.ebitda_margin}}</w:t>
            </w:r>
          </w:p>
        </w:tc>
        <w:tc>
          <w:tcPr>
            <w:tcW w:type="dxa" w:w="3175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{{storeBenchmark.net_margin}}</w:t>
            </w:r>
          </w:p>
        </w:tc>
      </w:tr>
    </w:tbl>
    <w:p>
      <w:pPr>
        <w:spacing w:after="120" w:line="120" w:lineRule="exact"/>
      </w:pPr>
    </w:p>
    <w:p>
      <w:pPr>
        <w:pStyle w:val="Heading2"/>
      </w:pPr>
      <w:r>
        <w:t>{{sbaContent.s05_swot_title}}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Strengths</w:t>
            </w:r>
          </w:p>
        </w:tc>
        <w:tc>
          <w:tcPr>
            <w:tcW w:type="dxa" w:w="4706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Weaknesses</w:t>
            </w:r>
          </w:p>
        </w:tc>
      </w:tr>
      <w:tr>
        <w:trPr>
          <w:cantSplit/>
        </w:trPr>
        <w:tc>
          <w:tcPr>
            <w:tcW w:type="dxa" w:w="4706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{{storeSWOT.swot.strengths_text}}</w:t>
            </w:r>
          </w:p>
        </w:tc>
        <w:tc>
          <w:tcPr>
            <w:tcW w:type="dxa" w:w="4706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{{storeSWOT.swot.weaknesses_text}}</w:t>
            </w:r>
          </w:p>
        </w:tc>
      </w:tr>
      <w:tr>
        <w:trPr>
          <w:cantSplit/>
        </w:trPr>
        <w:tc>
          <w:tcPr>
            <w:tcW w:type="dxa" w:w="4706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Opportunities</w:t>
            </w:r>
          </w:p>
        </w:tc>
        <w:tc>
          <w:tcPr>
            <w:tcW w:type="dxa" w:w="4706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Threats</w:t>
            </w:r>
          </w:p>
        </w:tc>
      </w:tr>
      <w:tr>
        <w:trPr>
          <w:cantSplit/>
        </w:trPr>
        <w:tc>
          <w:tcPr>
            <w:tcW w:type="dxa" w:w="4706"/>
          </w:tcPr>
          <w:p>
            <w:pPr>
              <w:spacing w:after="60" w:before="60"/>
            </w:pPr>
            <w:r/>
            <w:r>
              <w:rPr>
                <w:sz w:val="19"/>
              </w:rPr>
              <w:t>{{storeSWOT.swot.opportunities_text}}</w:t>
            </w:r>
          </w:p>
        </w:tc>
        <w:tc>
          <w:tcPr>
            <w:tcW w:type="dxa" w:w="4706"/>
          </w:tcPr>
          <w:p>
            <w:pPr>
              <w:spacing w:after="60" w:before="60"/>
            </w:pPr>
            <w:r/>
            <w:r>
              <w:rPr>
                <w:sz w:val="19"/>
              </w:rPr>
              <w:t>{{storeSWOT.swot.threats_text}}</w:t>
            </w:r>
          </w:p>
        </w:tc>
      </w:tr>
    </w:tbl>
    <w:p>
      <w:pPr>
        <w:spacing w:after="120" w:line="120" w:lineRule="exact"/>
      </w:pPr>
    </w:p>
    <w:p>
      <w:pPr>
        <w:pStyle w:val="Heading2"/>
      </w:pPr>
      <w:r>
        <w:t>{{sbaContent.s05_painpoints_title}}</w:t>
      </w:r>
    </w:p>
    <w:p>
      <w:pPr>
        <w:pStyle w:val="ListBullet"/>
      </w:pPr>
      <w:r>
        <w:t>{{storePainpoints.painpoints.painpoints_1_name}}</w:t>
      </w:r>
    </w:p>
    <w:p>
      <w:pPr>
        <w:pStyle w:val="ListBullet"/>
      </w:pPr>
      <w:r>
        <w:t>{{storePainpoints.painpoints.painpoints_2_name}}</w:t>
      </w:r>
    </w:p>
    <w:p>
      <w:pPr>
        <w:pStyle w:val="ListBullet"/>
      </w:pPr>
      <w:r>
        <w:t>{{storePainpoints.painpoints.painpoints_3_name}}</w:t>
      </w:r>
    </w:p>
    <w:p>
      <w:pPr>
        <w:pStyle w:val="ListBullet"/>
      </w:pPr>
      <w:r>
        <w:t>{{storePainpoints.painpoints.painpoints_4_name}}</w:t>
      </w:r>
    </w:p>
    <w:p>
      <w:pPr>
        <w:pStyle w:val="ListBullet"/>
      </w:pPr>
      <w:r>
        <w:t>{{storePainpoints.painpoints.painpoints_5_name}}</w:t>
      </w:r>
    </w:p>
    <w:p>
      <w:pPr>
        <w:pStyle w:val="ListBullet"/>
      </w:pPr>
      <w:r>
        <w:t>{{storePainpoints.painpoints.painpoints_6_name}}</w:t>
      </w:r>
    </w:p>
    <w:p>
      <w:pPr>
        <w:pStyle w:val="ListBullet"/>
      </w:pPr>
      <w:r>
        <w:t>{{storePainpoints.painpoints.painpoints_7_name}}</w:t>
      </w:r>
    </w:p>
    <w:p>
      <w:pPr>
        <w:pStyle w:val="Kicker"/>
      </w:pPr>
      <w:r>
        <w:t>Section 4</w:t>
      </w:r>
    </w:p>
    <w:p>
      <w:bookmarkStart w:id="4" w:name="sec4"/>
      <w:pPr>
        <w:pStyle w:val="Heading1"/>
        <w:pBdr>
          <w:bottom w:val="single" w:sz="12" w:space="4" w:color="2EDAE5" w:themeColor="accent3"/>
        </w:pBdr>
      </w:pPr>
      <w:r>
        <w:t>Organization &amp; Management</w:t>
      </w:r>
      <w:bookmarkEnd w:id="4"/>
    </w:p>
    <w:p>
      <w:pPr>
        <w:pStyle w:val="Heading2"/>
      </w:pPr>
      <w:r>
        <w:t>{{sbaContent.s06_team_title}}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3137"/>
        <w:gridCol w:w="3137"/>
        <w:gridCol w:w="3137"/>
      </w:tblGrid>
      <w:tr>
        <w:trPr>
          <w:cantSplit/>
        </w:trPr>
        <w:tc>
          <w:tcPr>
            <w:tcW w:type="dxa" w:w="2551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Name</w:t>
            </w:r>
          </w:p>
        </w:tc>
        <w:tc>
          <w:tcPr>
            <w:tcW w:type="dxa" w:w="2551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Role</w:t>
            </w:r>
          </w:p>
        </w:tc>
        <w:tc>
          <w:tcPr>
            <w:tcW w:type="dxa" w:w="4309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Relevant experience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spacing w:after="60" w:before="60"/>
            </w:pPr>
            <w:r/>
            <w:r>
              <w:rPr>
                <w:sz w:val="19"/>
              </w:rPr>
              <w:t>{{yourInformation.name}}</w:t>
            </w:r>
          </w:p>
        </w:tc>
        <w:tc>
          <w:tcPr>
            <w:tcW w:type="dxa" w:w="2551"/>
          </w:tcPr>
          <w:p>
            <w:pPr>
              <w:spacing w:after="60" w:before="60"/>
            </w:pPr>
            <w:r/>
            <w:r>
              <w:rPr>
                <w:sz w:val="19"/>
              </w:rPr>
              <w:t>{{yourInformation.role}}</w:t>
            </w:r>
          </w:p>
        </w:tc>
        <w:tc>
          <w:tcPr>
            <w:tcW w:type="dxa" w:w="4309"/>
          </w:tcPr>
          <w:p>
            <w:pPr>
              <w:spacing w:after="60" w:before="60"/>
            </w:pPr>
            <w:r/>
            <w:r>
              <w:rPr>
                <w:sz w:val="19"/>
              </w:rPr>
              <w:t>{{yourInformation.priorExperience}}</w:t>
            </w:r>
          </w:p>
        </w:tc>
      </w:tr>
    </w:tbl>
    <w:p>
      <w:pPr>
        <w:spacing w:after="120" w:line="120" w:lineRule="exact"/>
      </w:pPr>
    </w:p>
    <w:p>
      <w:pPr>
        <w:pStyle w:val="Note"/>
      </w:pPr>
      <w:r>
        <w:t>{{sbaContent.s06_note}}</w:t>
      </w:r>
    </w:p>
    <w:p>
      <w:pPr>
        <w:pStyle w:val="Kicker"/>
      </w:pPr>
      <w:r>
        <w:t>Section 5</w:t>
      </w:r>
    </w:p>
    <w:p>
      <w:bookmarkStart w:id="5" w:name="sec5"/>
      <w:pPr>
        <w:pStyle w:val="Heading1"/>
        <w:pBdr>
          <w:bottom w:val="single" w:sz="12" w:space="4" w:color="2EDAE5" w:themeColor="accent3"/>
        </w:pBdr>
      </w:pPr>
      <w:r>
        <w:t>Products &amp; Services</w:t>
      </w:r>
      <w:bookmarkEnd w:id="5"/>
    </w:p>
    <w:p>
      <w:pPr>
        <w:pStyle w:val="Heading2"/>
      </w:pPr>
      <w:r>
        <w:t>{{sbaContent.s07_offer_title}}</w:t>
      </w:r>
    </w:p>
    <w:p>
      <w:pPr/>
      <w:r>
        <w:t>{{storeCompanyDescription.value}}</w:t>
      </w:r>
    </w:p>
    <w:p>
      <w:pPr>
        <w:pStyle w:val="Heading2"/>
      </w:pPr>
      <w:r>
        <w:t>{{sbaContent.s07_value_title}}</w:t>
      </w:r>
    </w:p>
    <w:p>
      <w:pPr>
        <w:pStyle w:val="ListBullet"/>
      </w:pPr>
      <w:r>
        <w:rPr>
          <w:b/>
        </w:rPr>
        <w:t xml:space="preserve">{{storeStrategyAndAdvantage.competitive_advantage.competitive_advantage_1_header}}. </w:t>
      </w:r>
      <w:r>
        <w:t>{{storeStrategyAndAdvantage.competitive_advantage.competitive_advantage_1_description}}</w:t>
      </w:r>
    </w:p>
    <w:p>
      <w:pPr>
        <w:pStyle w:val="ListBullet"/>
      </w:pPr>
      <w:r>
        <w:rPr>
          <w:b/>
        </w:rPr>
        <w:t xml:space="preserve">{{storeStrategyAndAdvantage.competitive_advantage.competitive_advantage_2_header}}. </w:t>
      </w:r>
      <w:r>
        <w:t>{{storeStrategyAndAdvantage.competitive_advantage.competitive_advantage_2_description}}</w:t>
      </w:r>
    </w:p>
    <w:p>
      <w:pPr>
        <w:pStyle w:val="ListBullet"/>
      </w:pPr>
      <w:r>
        <w:rPr>
          <w:b/>
        </w:rPr>
        <w:t xml:space="preserve">{{storeStrategyAndAdvantage.competitive_advantage.competitive_advantage_3_header}}. </w:t>
      </w:r>
      <w:r>
        <w:t>{{storeStrategyAndAdvantage.competitive_advantage.competitive_advantage_3_description}}</w:t>
      </w:r>
    </w:p>
    <w:p>
      <w:pPr>
        <w:pStyle w:val="Heading2"/>
      </w:pPr>
      <w:r>
        <w:t>{{sbaContent.s07_revenue_title}}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2353"/>
        <w:gridCol w:w="2353"/>
        <w:gridCol w:w="2353"/>
        <w:gridCol w:w="2353"/>
      </w:tblGrid>
      <w:tr>
        <w:trPr>
          <w:cantSplit/>
        </w:trPr>
        <w:tc>
          <w:tcPr>
            <w:tcW w:type="dxa" w:w="4117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Line of business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Year 1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Year 2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Year 3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{{storeRevenues.LOB1.name}}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{{storeRevenues.LOB1.amount_y1}}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{{storeRevenues.LOB1.amount_y2}}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{{storeRevenues.LOB1.amount_y3}}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{{storeRevenues.LOB2.name}}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{{storeRevenues.LOB2.amount_y1}}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{{storeRevenues.LOB2.amount_y2}}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{{storeRevenues.LOB2.amount_y3}}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{{storeRevenues.LOB3.name}}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{{storeRevenues.LOB3.amount_y1}}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{{storeRevenues.LOB3.amount_y2}}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{{storeRevenues.LOB3.amount_y3}}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{{storeRevenues.LOB4.name}}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{{storeRevenues.LOB4.amount_y1}}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{{storeRevenues.LOB4.amount_y2}}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{{storeRevenues.LOB4.amount_y3}}</w:t>
            </w:r>
          </w:p>
        </w:tc>
      </w:tr>
      <w:tr>
        <w:trPr>
          <w:cantSplit/>
        </w:trPr>
        <w:tc>
          <w:tcPr>
            <w:tcW w:type="dxa" w:w="4117"/>
            <w:shd w:val="clear" w:color="auto" w:fill="F2F4F7" w:themeFill="lt2"/>
          </w:tcPr>
          <w:p>
            <w:pPr>
              <w:spacing w:after="60" w:before="60"/>
            </w:pPr>
            <w:r/>
            <w:r>
              <w:rPr>
                <w:b/>
                <w:sz w:val="19"/>
              </w:rPr>
              <w:t>Total revenue</w:t>
            </w:r>
          </w:p>
        </w:tc>
        <w:tc>
          <w:tcPr>
            <w:tcW w:type="dxa" w:w="1765"/>
            <w:shd w:val="clear" w:color="auto" w:fill="F2F4F7" w:themeFill="lt2"/>
          </w:tcPr>
          <w:p>
            <w:pPr>
              <w:spacing w:after="60" w:before="60"/>
              <w:jc w:val="right"/>
            </w:pPr>
            <w:r/>
            <w:r>
              <w:rPr>
                <w:b/>
                <w:sz w:val="19"/>
              </w:rPr>
              <w:t>{{storeRevenues.Total.amount_y1}}</w:t>
            </w:r>
          </w:p>
        </w:tc>
        <w:tc>
          <w:tcPr>
            <w:tcW w:type="dxa" w:w="1765"/>
            <w:shd w:val="clear" w:color="auto" w:fill="F2F4F7" w:themeFill="lt2"/>
          </w:tcPr>
          <w:p>
            <w:pPr>
              <w:spacing w:after="60" w:before="60"/>
              <w:jc w:val="right"/>
            </w:pPr>
            <w:r/>
            <w:r>
              <w:rPr>
                <w:b/>
                <w:sz w:val="19"/>
              </w:rPr>
              <w:t>{{storeRevenues.Total.amount_y2}}</w:t>
            </w:r>
          </w:p>
        </w:tc>
        <w:tc>
          <w:tcPr>
            <w:tcW w:type="dxa" w:w="1765"/>
            <w:shd w:val="clear" w:color="auto" w:fill="F2F4F7" w:themeFill="lt2"/>
          </w:tcPr>
          <w:p>
            <w:pPr>
              <w:spacing w:after="60" w:before="60"/>
              <w:jc w:val="right"/>
            </w:pPr>
            <w:r/>
            <w:r>
              <w:rPr>
                <w:b/>
                <w:sz w:val="19"/>
              </w:rPr>
              <w:t>{{storeRevenues.Total.amount_y3}}</w:t>
            </w:r>
          </w:p>
        </w:tc>
      </w:tr>
    </w:tbl>
    <w:p>
      <w:pPr>
        <w:spacing w:after="120" w:line="120" w:lineRule="exact"/>
      </w:pPr>
    </w:p>
    <w:p>
      <w:pPr>
        <w:pStyle w:val="Kicker"/>
      </w:pPr>
      <w:r>
        <w:t>Section 6</w:t>
      </w:r>
    </w:p>
    <w:p>
      <w:bookmarkStart w:id="6" w:name="sec6"/>
      <w:pPr>
        <w:pStyle w:val="Heading1"/>
        <w:pBdr>
          <w:bottom w:val="single" w:sz="12" w:space="4" w:color="2EDAE5" w:themeColor="accent3"/>
        </w:pBdr>
      </w:pPr>
      <w:r>
        <w:t>Marketing &amp; Sales</w:t>
      </w:r>
      <w:bookmarkEnd w:id="6"/>
    </w:p>
    <w:p>
      <w:pPr>
        <w:pStyle w:val="Heading2"/>
      </w:pPr>
      <w:r>
        <w:t>{{sbaContent.s08_marketing_title}}</w:t>
      </w:r>
    </w:p>
    <w:p>
      <w:pPr>
        <w:pStyle w:val="ListBullet"/>
      </w:pPr>
      <w:r>
        <w:rPr>
          <w:b/>
        </w:rPr>
        <w:t xml:space="preserve">{{storeStrategyAndAdvantage.marketing_strategy.marketing_strategy_1_header}}. </w:t>
      </w:r>
      <w:r>
        <w:t>{{storeStrategyAndAdvantage.marketing_strategy.marketing_strategy_1_description}}</w:t>
      </w:r>
    </w:p>
    <w:p>
      <w:pPr>
        <w:pStyle w:val="ListBullet"/>
      </w:pPr>
      <w:r>
        <w:rPr>
          <w:b/>
        </w:rPr>
        <w:t xml:space="preserve">{{storeStrategyAndAdvantage.marketing_strategy.marketing_strategy_2_header}}. </w:t>
      </w:r>
      <w:r>
        <w:t>{{storeStrategyAndAdvantage.marketing_strategy.marketing_strategy_2_description}}</w:t>
      </w:r>
    </w:p>
    <w:p>
      <w:pPr>
        <w:pStyle w:val="ListBullet"/>
      </w:pPr>
      <w:r>
        <w:rPr>
          <w:b/>
        </w:rPr>
        <w:t xml:space="preserve">{{storeStrategyAndAdvantage.marketing_strategy.marketing_strategy_3_header}}. </w:t>
      </w:r>
      <w:r>
        <w:t>{{storeStrategyAndAdvantage.marketing_strategy.marketing_strategy_3_description}}</w:t>
      </w:r>
    </w:p>
    <w:p>
      <w:pPr>
        <w:pStyle w:val="Heading2"/>
      </w:pPr>
      <w:r>
        <w:t>{{sbaContent.s08_sales_title}}</w:t>
      </w:r>
    </w:p>
    <w:p>
      <w:pPr/>
      <w:r>
        <w:t>The revenue forecast is built bottom-up from the plan's {{calc.revenue_line_count}} revenue lines ({{storeRevenues.LOB1.name}}, {{storeRevenues.LOB2.name}}, {{storeRevenues.LOB3.name}}, {{storeRevenues.LOB4.name}}), each priced and scaled by expected volume. Marketing reconciles directly to those volumes.</w:t>
      </w:r>
    </w:p>
    <w:p>
      <w:pPr>
        <w:pStyle w:val="Kicker"/>
      </w:pPr>
      <w:r>
        <w:t>Section 7</w:t>
      </w:r>
    </w:p>
    <w:p>
      <w:bookmarkStart w:id="7" w:name="sec7"/>
      <w:pPr>
        <w:pStyle w:val="Heading1"/>
        <w:pBdr>
          <w:bottom w:val="single" w:sz="12" w:space="4" w:color="2EDAE5" w:themeColor="accent3"/>
        </w:pBdr>
      </w:pPr>
      <w:r>
        <w:t>Funding Request &amp; Use of Funds</w:t>
      </w:r>
      <w:bookmarkEnd w:id="7"/>
    </w:p>
    <w:p>
      <w:pPr/>
      <w:r>
        <w:t>{{storeFundingAllocation.text1}}</w:t>
      </w:r>
    </w:p>
    <w:p>
      <w:pPr>
        <w:pStyle w:val="Heading2"/>
      </w:pPr>
      <w:r>
        <w:t>{{sbaContent.s09_request_title}}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Total capital need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{{capitalNeeds.capital}}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Total CAPEX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{{storeCAPEX.Total.amount_CAPEX}}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Working-capital buffer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{{storeCAPITAL.WCBuffer.amount}}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Modeled rate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{{sbaData.interest_rate}}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before="60"/>
            </w:pPr>
            <w:r/>
            <w:r>
              <w:rPr>
                <w:sz w:val="19"/>
                <w:color w:val="5D6675" w:themeColor="accent4"/>
              </w:rPr>
              <w:t>Term</w:t>
            </w:r>
          </w:p>
        </w:tc>
        <w:tc>
          <w:tcPr>
            <w:tcW w:type="dxa" w:w="5159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{{sbaData.loan_term_years}} years</w:t>
            </w:r>
          </w:p>
        </w:tc>
      </w:tr>
    </w:tbl>
    <w:p>
      <w:pPr>
        <w:spacing w:after="120" w:line="120" w:lineRule="exact"/>
      </w:pPr>
    </w:p>
    <w:p>
      <w:pPr>
        <w:pStyle w:val="Heading2"/>
      </w:pPr>
      <w:r>
        <w:t>{{sbaContent.s09_uof_title}}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7352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Use</w:t>
            </w:r>
          </w:p>
        </w:tc>
        <w:tc>
          <w:tcPr>
            <w:tcW w:type="dxa" w:w="2059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Amount</w:t>
            </w:r>
          </w:p>
        </w:tc>
      </w:tr>
      <w:tr>
        <w:trPr>
          <w:cantSplit/>
        </w:trPr>
        <w:tc>
          <w:tcPr>
            <w:tcW w:type="dxa" w:w="7352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{{storeCAPEX.Category1.name}}</w:t>
            </w:r>
          </w:p>
        </w:tc>
        <w:tc>
          <w:tcPr>
            <w:tcW w:type="dxa" w:w="20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{{storeCAPEX.Category1.amount_CAPEX}}</w:t>
            </w:r>
          </w:p>
        </w:tc>
      </w:tr>
      <w:tr>
        <w:trPr>
          <w:cantSplit/>
        </w:trPr>
        <w:tc>
          <w:tcPr>
            <w:tcW w:type="dxa" w:w="7352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{{storeCAPEX.Category2.name}}</w:t>
            </w:r>
          </w:p>
        </w:tc>
        <w:tc>
          <w:tcPr>
            <w:tcW w:type="dxa" w:w="20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{{storeCAPEX.Category2.amount_CAPEX}}</w:t>
            </w:r>
          </w:p>
        </w:tc>
      </w:tr>
      <w:tr>
        <w:trPr>
          <w:cantSplit/>
        </w:trPr>
        <w:tc>
          <w:tcPr>
            <w:tcW w:type="dxa" w:w="7352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{{storeCAPEX.Category3.name}}</w:t>
            </w:r>
          </w:p>
        </w:tc>
        <w:tc>
          <w:tcPr>
            <w:tcW w:type="dxa" w:w="20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{{storeCAPEX.Category3.amount_CAPEX}}</w:t>
            </w:r>
          </w:p>
        </w:tc>
      </w:tr>
      <w:tr>
        <w:trPr>
          <w:cantSplit/>
        </w:trPr>
        <w:tc>
          <w:tcPr>
            <w:tcW w:type="dxa" w:w="7352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{{storeCAPEX.Category4.name}}</w:t>
            </w:r>
          </w:p>
        </w:tc>
        <w:tc>
          <w:tcPr>
            <w:tcW w:type="dxa" w:w="20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{{storeCAPEX.Category4.amount_CAPEX}}</w:t>
            </w:r>
          </w:p>
        </w:tc>
      </w:tr>
      <w:tr>
        <w:trPr>
          <w:cantSplit/>
        </w:trPr>
        <w:tc>
          <w:tcPr>
            <w:tcW w:type="dxa" w:w="7352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Working-capital buffer</w:t>
            </w:r>
          </w:p>
        </w:tc>
        <w:tc>
          <w:tcPr>
            <w:tcW w:type="dxa" w:w="20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{{storeCAPITAL.WCBuffer.amount}}</w:t>
            </w:r>
          </w:p>
        </w:tc>
      </w:tr>
      <w:tr>
        <w:trPr>
          <w:cantSplit/>
        </w:trPr>
        <w:tc>
          <w:tcPr>
            <w:tcW w:type="dxa" w:w="7352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Contingency / reserve</w:t>
            </w:r>
          </w:p>
        </w:tc>
        <w:tc>
          <w:tcPr>
            <w:tcW w:type="dxa" w:w="20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{{calc.contingency_reserve}}</w:t>
            </w:r>
          </w:p>
        </w:tc>
      </w:tr>
      <w:tr>
        <w:trPr>
          <w:cantSplit/>
        </w:trPr>
        <w:tc>
          <w:tcPr>
            <w:tcW w:type="dxa" w:w="7352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Less: funded from other sources (equity + credit line)</w:t>
            </w:r>
          </w:p>
        </w:tc>
        <w:tc>
          <w:tcPr>
            <w:tcW w:type="dxa" w:w="20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{{calc.funded_from_other_sources}}</w:t>
            </w:r>
          </w:p>
        </w:tc>
      </w:tr>
      <w:tr>
        <w:trPr>
          <w:cantSplit/>
        </w:trPr>
        <w:tc>
          <w:tcPr>
            <w:tcW w:type="dxa" w:w="7352"/>
            <w:shd w:val="clear" w:color="auto" w:fill="F2F4F7" w:themeFill="lt2"/>
          </w:tcPr>
          <w:p>
            <w:pPr>
              <w:spacing w:after="60" w:before="60"/>
            </w:pPr>
            <w:r/>
            <w:r>
              <w:rPr>
                <w:b/>
                <w:sz w:val="19"/>
              </w:rPr>
              <w:t>Financed by SBA 7(a) loan</w:t>
            </w:r>
          </w:p>
        </w:tc>
        <w:tc>
          <w:tcPr>
            <w:tcW w:type="dxa" w:w="2059"/>
            <w:shd w:val="clear" w:color="auto" w:fill="F2F4F7" w:themeFill="lt2"/>
          </w:tcPr>
          <w:p>
            <w:pPr>
              <w:spacing w:after="60" w:before="60"/>
              <w:jc w:val="right"/>
            </w:pPr>
            <w:r/>
            <w:r>
              <w:rPr>
                <w:b/>
                <w:sz w:val="19"/>
              </w:rPr>
              <w:t>{{storeCompanyAntPrSize.loan_invest}}</w:t>
            </w:r>
          </w:p>
        </w:tc>
      </w:tr>
    </w:tbl>
    <w:p>
      <w:pPr>
        <w:spacing w:after="120" w:line="120" w:lineRule="exact"/>
      </w:pPr>
    </w:p>
    <w:p>
      <w:pPr>
        <w:pStyle w:val="Note"/>
      </w:pPr>
      <w:r>
        <w:t>{{sbaContent.s09_uof_note}}</w:t>
      </w:r>
    </w:p>
    <w:p>
      <w:pPr>
        <w:pStyle w:val="Kicker"/>
      </w:pPr>
      <w:r>
        <w:t>Section 8</w:t>
      </w:r>
    </w:p>
    <w:p>
      <w:bookmarkStart w:id="8" w:name="sec8"/>
      <w:pPr>
        <w:pStyle w:val="Heading1"/>
        <w:pBdr>
          <w:bottom w:val="single" w:sz="12" w:space="4" w:color="2EDAE5" w:themeColor="accent3"/>
        </w:pBdr>
      </w:pPr>
      <w:r>
        <w:t>Financial Projections: Income</w:t>
      </w:r>
      <w:bookmarkEnd w:id="8"/>
    </w:p>
    <w:p>
      <w:pPr>
        <w:pStyle w:val="Heading2"/>
      </w:pPr>
      <w:r>
        <w:t>{{sbaContent.s10_assumptions_title}}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2353"/>
        <w:gridCol w:w="2353"/>
        <w:gridCol w:w="2353"/>
        <w:gridCol w:w="2353"/>
      </w:tblGrid>
      <w:tr>
        <w:trPr>
          <w:cantSplit/>
        </w:trPr>
        <w:tc>
          <w:tcPr>
            <w:tcW w:type="dxa" w:w="4117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Driver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Y1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Y2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Y3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Revenue growth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-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{{calc.revenue_growth_y2}}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{{calc.revenue_growth_y3}}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Gross margin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{{calc.gross_margin_y1}}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{{calc.gross_margin_y2}}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{{calc.gross_margin_y3}}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spacing w:after="60" w:before="60"/>
            </w:pPr>
            <w:r/>
            <w:r>
              <w:rPr>
                <w:sz w:val="19"/>
              </w:rPr>
              <w:t>Effective tax rate</w:t>
            </w:r>
          </w:p>
        </w:tc>
        <w:tc>
          <w:tcPr>
            <w:tcW w:type="dxa" w:w="1765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{{calc.effective_tax_rate_y1}}</w:t>
            </w:r>
          </w:p>
        </w:tc>
        <w:tc>
          <w:tcPr>
            <w:tcW w:type="dxa" w:w="1765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{{calc.effective_tax_rate_y2}}</w:t>
            </w:r>
          </w:p>
        </w:tc>
        <w:tc>
          <w:tcPr>
            <w:tcW w:type="dxa" w:w="1765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{{calc.effective_tax_rate_y3}}</w:t>
            </w:r>
          </w:p>
        </w:tc>
      </w:tr>
    </w:tbl>
    <w:p>
      <w:pPr>
        <w:spacing w:after="120" w:line="120" w:lineRule="exact"/>
      </w:pPr>
    </w:p>
    <w:p>
      <w:pPr>
        <w:pStyle w:val="Note"/>
      </w:pPr>
      <w:r>
        <w:t>Benchmarked to sector norms (gross {{storeBenchmark.gross_margin}}, EBITDA {{storeBenchmark.ebitda_margin}}).</w:t>
      </w:r>
    </w:p>
    <w:p>
      <w:pPr>
        <w:pStyle w:val="Heading2"/>
      </w:pPr>
      <w:r>
        <w:t>{{sbaContent.s10_income_title}}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2353"/>
        <w:gridCol w:w="2353"/>
        <w:gridCol w:w="2353"/>
        <w:gridCol w:w="2353"/>
      </w:tblGrid>
      <w:tr>
        <w:trPr>
          <w:cantSplit/>
        </w:trPr>
        <w:tc>
          <w:tcPr>
            <w:tcW w:type="dxa" w:w="4117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Line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Year 1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Year 2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Year 3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Revenue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{{storeRevenues.Total.amount_y1}}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{{storeRevenues.Total.amount_y2}}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{{storeRevenues.Total.amount_y3}}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Cost of goods sold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{{storeCOGS.Total.amount_y1}}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{{storeCOGS.Total.amount_y2}}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{{storeCOGS.Total.amount_y3}}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Gross profit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{{storeGP.Total.amount_y1}}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{{storeGP.Total.amount_y2}}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{{storeGP.Total.amount_y3}}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EBITDA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{{storeEBITDA.Total.amount_y1}}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{{storeEBITDA.Total.amount_y2}}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{{storeEBITDA.Total.amount_y3}}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Depreciation &amp; amortization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{{storeCAPEX.Total.amount_Depr_y1}}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{{storeCAPEX.Total.amount_Depr_y2}}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{{storeCAPEX.Total.amount_Depr_y3}}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EBIT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{{storeEBIT.Total.amount_y1}}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{{storeEBIT.Total.amount_y2}}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{{storeEBIT.Total.amount_y3}}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Interest expense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{{storeCAPITAL.InterestExpense.amount_y1}}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{{storeCAPITAL.InterestExpense.amount_y2}}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{{storeCAPITAL.InterestExpense.amount_y3}}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Profit before tax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{{storeProfitBeforeTax.Total.amount_y1}}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{{storeProfitBeforeTax.Total.amount_y2}}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{{storeProfitBeforeTax.Total.amount_y3}}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Tax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{{storeTax.Total.amount_y1}}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{{storeTax.Total.amount_y2}}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{{storeTax.Total.amount_y3}}</w:t>
            </w:r>
          </w:p>
        </w:tc>
      </w:tr>
      <w:tr>
        <w:trPr>
          <w:cantSplit/>
        </w:trPr>
        <w:tc>
          <w:tcPr>
            <w:tcW w:type="dxa" w:w="4117"/>
            <w:shd w:val="clear" w:color="auto" w:fill="F2F4F7" w:themeFill="lt2"/>
          </w:tcPr>
          <w:p>
            <w:pPr>
              <w:spacing w:after="60" w:before="60"/>
            </w:pPr>
            <w:r/>
            <w:r>
              <w:rPr>
                <w:b/>
                <w:sz w:val="19"/>
              </w:rPr>
              <w:t>Profit after tax</w:t>
            </w:r>
          </w:p>
        </w:tc>
        <w:tc>
          <w:tcPr>
            <w:tcW w:type="dxa" w:w="1765"/>
            <w:shd w:val="clear" w:color="auto" w:fill="F2F4F7" w:themeFill="lt2"/>
          </w:tcPr>
          <w:p>
            <w:pPr>
              <w:spacing w:after="60" w:before="60"/>
              <w:jc w:val="right"/>
            </w:pPr>
            <w:r/>
            <w:r>
              <w:rPr>
                <w:b/>
                <w:sz w:val="19"/>
              </w:rPr>
              <w:t>{{storeProfitAfterTax.Total.amount_y1}}</w:t>
            </w:r>
          </w:p>
        </w:tc>
        <w:tc>
          <w:tcPr>
            <w:tcW w:type="dxa" w:w="1765"/>
            <w:shd w:val="clear" w:color="auto" w:fill="F2F4F7" w:themeFill="lt2"/>
          </w:tcPr>
          <w:p>
            <w:pPr>
              <w:spacing w:after="60" w:before="60"/>
              <w:jc w:val="right"/>
            </w:pPr>
            <w:r/>
            <w:r>
              <w:rPr>
                <w:b/>
                <w:sz w:val="19"/>
              </w:rPr>
              <w:t>{{storeProfitAfterTax.Total.amount_y2}}</w:t>
            </w:r>
          </w:p>
        </w:tc>
        <w:tc>
          <w:tcPr>
            <w:tcW w:type="dxa" w:w="1765"/>
            <w:shd w:val="clear" w:color="auto" w:fill="F2F4F7" w:themeFill="lt2"/>
          </w:tcPr>
          <w:p>
            <w:pPr>
              <w:spacing w:after="60" w:before="60"/>
              <w:jc w:val="right"/>
            </w:pPr>
            <w:r/>
            <w:r>
              <w:rPr>
                <w:b/>
                <w:sz w:val="19"/>
              </w:rPr>
              <w:t>{{storeProfitAfterTax.Total.amount_y3}}</w:t>
            </w:r>
          </w:p>
        </w:tc>
      </w:tr>
    </w:tbl>
    <w:p>
      <w:pPr>
        <w:spacing w:after="120" w:line="120" w:lineRule="exact"/>
      </w:pPr>
    </w:p>
    <w:p>
      <w:pPr>
        <w:pStyle w:val="Note"/>
      </w:pPr>
      <w:r>
        <w:t>Y4/Y5 revenue {{storeRevenues.Total.amount_y4}} / {{storeRevenues.Total.amount_y5}}.</w:t>
      </w:r>
    </w:p>
    <w:p>
      <w:pPr>
        <w:pStyle w:val="Kicker"/>
      </w:pPr>
      <w:r>
        <w:t>Section 8 (cont.)</w:t>
      </w:r>
    </w:p>
    <w:p>
      <w:bookmarkStart w:id="9" w:name="sec9"/>
      <w:pPr>
        <w:pStyle w:val="Heading1"/>
        <w:pBdr>
          <w:bottom w:val="single" w:sz="12" w:space="4" w:color="2EDAE5" w:themeColor="accent3"/>
        </w:pBdr>
      </w:pPr>
      <w:r>
        <w:t>Financial Projections: Position &amp; Cash</w:t>
      </w:r>
      <w:bookmarkEnd w:id="9"/>
    </w:p>
    <w:p>
      <w:pPr>
        <w:pStyle w:val="Heading2"/>
      </w:pPr>
      <w:r>
        <w:t>{{sbaContent.s11_balance_title}}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2353"/>
        <w:gridCol w:w="2353"/>
        <w:gridCol w:w="2353"/>
        <w:gridCol w:w="2353"/>
      </w:tblGrid>
      <w:tr>
        <w:trPr>
          <w:cantSplit/>
        </w:trPr>
        <w:tc>
          <w:tcPr>
            <w:tcW w:type="dxa" w:w="4117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Line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Year 1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Year 2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Year 3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Cash &amp; equivalents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{{storeBS.cashEquivalents.Total.y_1}}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{{storeBS.cashEquivalents.Total.y_2}}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{{storeBS.cashEquivalents.Total.y_3}}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Current assets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{{storeBS.currentAssets.Total.y_1}}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{{storeBS.currentAssets.Total.y_2}}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{{storeBS.currentAssets.Total.y_3}}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Non-current assets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{{storeBS.nonCurrentAssets.Total.y_1}}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{{storeBS.nonCurrentAssets.Total.y_2}}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{{storeBS.nonCurrentAssets.Total.y_3}}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Total assets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{{storeBS.totalAssets.Total.y_1}}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{{storeBS.totalAssets.Total.y_2}}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{{storeBS.totalAssets.Total.y_3}}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Loans &amp; borrowings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{{storeBS.loansAndOtherBorrowings.Total.y_1}}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{{storeBS.loansAndOtherBorrowings.Total.y_2}}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{{storeBS.loansAndOtherBorrowings.Total.y_3}}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Total liabilities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{{storeBS.totalLiabilities.Total.y_1}}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{{storeBS.totalLiabilities.Total.y_2}}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{{storeBS.totalLiabilities.Total.y_3}}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spacing w:after="60" w:before="60"/>
            </w:pPr>
            <w:r/>
            <w:r>
              <w:rPr>
                <w:sz w:val="19"/>
              </w:rPr>
              <w:t>Total equity</w:t>
            </w:r>
          </w:p>
        </w:tc>
        <w:tc>
          <w:tcPr>
            <w:tcW w:type="dxa" w:w="1765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{{storeBS.totalEquity.Total.y_1}}</w:t>
            </w:r>
          </w:p>
        </w:tc>
        <w:tc>
          <w:tcPr>
            <w:tcW w:type="dxa" w:w="1765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{{storeBS.totalEquity.Total.y_2}}</w:t>
            </w:r>
          </w:p>
        </w:tc>
        <w:tc>
          <w:tcPr>
            <w:tcW w:type="dxa" w:w="1765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{{storeBS.totalEquity.Total.y_3}}</w:t>
            </w:r>
          </w:p>
        </w:tc>
      </w:tr>
    </w:tbl>
    <w:p>
      <w:pPr>
        <w:spacing w:after="120" w:line="120" w:lineRule="exact"/>
      </w:pPr>
    </w:p>
    <w:p>
      <w:pPr>
        <w:pStyle w:val="Note"/>
      </w:pPr>
      <w:r>
        <w:t>Loans and borrowings comprise the SBA loan balance and the short-term credit line.</w:t>
      </w:r>
    </w:p>
    <w:p>
      <w:pPr>
        <w:pStyle w:val="Heading2"/>
      </w:pPr>
      <w:r>
        <w:t>{{sbaContent.s11_cashflow_title}}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2353"/>
        <w:gridCol w:w="2353"/>
        <w:gridCol w:w="2353"/>
        <w:gridCol w:w="2353"/>
      </w:tblGrid>
      <w:tr>
        <w:trPr>
          <w:cantSplit/>
        </w:trPr>
        <w:tc>
          <w:tcPr>
            <w:tcW w:type="dxa" w:w="4117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Line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Year 1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Year 2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Year 3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Operating activities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{{storeCFDirect.operatingActivities.Total.y_1}}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{{storeCFDirect.operatingActivities.Total.y_2}}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{{storeCFDirect.operatingActivities.Total.y_3}}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Investing activities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{{storeCFDirect.investingActivities.Total.y_1}}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{{storeCFDirect.investingActivities.Total.y_2}}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{{storeCFDirect.investingActivities.Total.y_3}}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Financing activities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{{storeCFDirect.financingActivities.Total.y_1}}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{{storeCFDirect.financingActivities.Total.y_2}}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{{storeCFDirect.financingActivities.Total.y_3}}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Net change in cash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{{calc.net_change_in_cash_y1}}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{{calc.net_change_in_cash_y2}}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{{calc.net_change_in_cash_y3}}</w:t>
            </w:r>
          </w:p>
        </w:tc>
      </w:tr>
      <w:tr>
        <w:trPr>
          <w:cantSplit/>
        </w:trPr>
        <w:tc>
          <w:tcPr>
            <w:tcW w:type="dxa" w:w="4117"/>
            <w:shd w:val="clear" w:color="auto" w:fill="F2F4F7" w:themeFill="lt2"/>
          </w:tcPr>
          <w:p>
            <w:pPr>
              <w:spacing w:after="60" w:before="60"/>
            </w:pPr>
            <w:r/>
            <w:r>
              <w:rPr>
                <w:b/>
                <w:sz w:val="19"/>
              </w:rPr>
              <w:t>Ending cash</w:t>
            </w:r>
          </w:p>
        </w:tc>
        <w:tc>
          <w:tcPr>
            <w:tcW w:type="dxa" w:w="1765"/>
            <w:shd w:val="clear" w:color="auto" w:fill="F2F4F7" w:themeFill="lt2"/>
          </w:tcPr>
          <w:p>
            <w:pPr>
              <w:spacing w:after="60" w:before="60"/>
              <w:jc w:val="right"/>
            </w:pPr>
            <w:r/>
            <w:r>
              <w:rPr>
                <w:b/>
                <w:sz w:val="19"/>
              </w:rPr>
              <w:t>{{storeBS.cashEquivalents.Total.y_1}}</w:t>
            </w:r>
          </w:p>
        </w:tc>
        <w:tc>
          <w:tcPr>
            <w:tcW w:type="dxa" w:w="1765"/>
            <w:shd w:val="clear" w:color="auto" w:fill="F2F4F7" w:themeFill="lt2"/>
          </w:tcPr>
          <w:p>
            <w:pPr>
              <w:spacing w:after="60" w:before="60"/>
              <w:jc w:val="right"/>
            </w:pPr>
            <w:r/>
            <w:r>
              <w:rPr>
                <w:b/>
                <w:sz w:val="19"/>
              </w:rPr>
              <w:t>{{storeBS.cashEquivalents.Total.y_2}}</w:t>
            </w:r>
          </w:p>
        </w:tc>
        <w:tc>
          <w:tcPr>
            <w:tcW w:type="dxa" w:w="1765"/>
            <w:shd w:val="clear" w:color="auto" w:fill="F2F4F7" w:themeFill="lt2"/>
          </w:tcPr>
          <w:p>
            <w:pPr>
              <w:spacing w:after="60" w:before="60"/>
              <w:jc w:val="right"/>
            </w:pPr>
            <w:r/>
            <w:r>
              <w:rPr>
                <w:b/>
                <w:sz w:val="19"/>
              </w:rPr>
              <w:t>{{storeBS.cashEquivalents.Total.y_3}}</w:t>
            </w:r>
          </w:p>
        </w:tc>
      </w:tr>
    </w:tbl>
    <w:p>
      <w:pPr>
        <w:spacing w:after="120" w:line="120" w:lineRule="exact"/>
      </w:pPr>
    </w:p>
    <w:p>
      <w:pPr>
        <w:pStyle w:val="Note"/>
      </w:pPr>
      <w:r>
        <w:t>{{sbaContent.s11_cashflow_note}}</w:t>
      </w:r>
    </w:p>
    <w:p>
      <w:pPr>
        <w:pStyle w:val="Kicker"/>
      </w:pPr>
      <w:r>
        <w:t>Section 8 (cont.)</w:t>
      </w:r>
    </w:p>
    <w:p>
      <w:bookmarkStart w:id="10" w:name="sec10"/>
      <w:pPr>
        <w:pStyle w:val="Heading1"/>
        <w:pBdr>
          <w:bottom w:val="single" w:sz="12" w:space="4" w:color="2EDAE5" w:themeColor="accent3"/>
        </w:pBdr>
      </w:pPr>
      <w:r>
        <w:t>Repayment Analysis</w:t>
      </w:r>
      <w:bookmarkEnd w:id="10"/>
    </w:p>
    <w:p>
      <w:pPr>
        <w:pStyle w:val="Heading2"/>
      </w:pPr>
      <w:r>
        <w:t>{{sbaContent.s12_dscr_title}}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2353"/>
        <w:gridCol w:w="2353"/>
        <w:gridCol w:w="2353"/>
        <w:gridCol w:w="2353"/>
      </w:tblGrid>
      <w:tr>
        <w:trPr>
          <w:cantSplit/>
        </w:trPr>
        <w:tc>
          <w:tcPr>
            <w:tcW w:type="dxa" w:w="4117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Line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Year 1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Year 2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Year 3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EBITDA (cash available)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{{storeEBITDA.Total.amount_y1}}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{{storeEBITDA.Total.amount_y2}}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{{storeEBITDA.Total.amount_y3}}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Annual debt service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{{storeCAPITAL.DebtService.amount_y1}}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{{storeCAPITAL.DebtService.amount_y2}}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{{storeCAPITAL.DebtService.amount_y3}}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DSCR (base case)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{{storeCAPITAL.DSCR.base_y1}}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{{storeCAPITAL.DSCR.base_y2}}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{{storeCAPITAL.DSCR.base_y3}}</w:t>
            </w:r>
          </w:p>
        </w:tc>
      </w:tr>
      <w:tr>
        <w:trPr>
          <w:cantSplit/>
        </w:trPr>
        <w:tc>
          <w:tcPr>
            <w:tcW w:type="dxa" w:w="4117"/>
          </w:tcPr>
          <w:p>
            <w:pPr>
              <w:spacing w:after="60" w:before="60"/>
            </w:pPr>
            <w:r/>
            <w:r>
              <w:rPr>
                <w:sz w:val="19"/>
              </w:rPr>
              <w:t>DSCR (downside -20%)</w:t>
            </w:r>
          </w:p>
        </w:tc>
        <w:tc>
          <w:tcPr>
            <w:tcW w:type="dxa" w:w="1765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{{storeCAPITAL.DSCR.downside_y1}}</w:t>
            </w:r>
          </w:p>
        </w:tc>
        <w:tc>
          <w:tcPr>
            <w:tcW w:type="dxa" w:w="1765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{{storeCAPITAL.DSCR.downside_y2}}</w:t>
            </w:r>
          </w:p>
        </w:tc>
        <w:tc>
          <w:tcPr>
            <w:tcW w:type="dxa" w:w="1765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{{storeCAPITAL.DSCR.downside_y3}}</w:t>
            </w:r>
          </w:p>
        </w:tc>
      </w:tr>
    </w:tbl>
    <w:p>
      <w:pPr>
        <w:spacing w:after="120" w:line="120" w:lineRule="exact"/>
      </w:pPr>
    </w:p>
    <w:p>
      <w:pPr>
        <w:pStyle w:val="Note"/>
      </w:pPr>
      <w:r>
        <w:t>EBITDA basis. SBA floor 1.10x (loans up to $ 350k) / 1.15x (above); lenders typically want 1.25x.</w:t>
      </w:r>
    </w:p>
    <w:p>
      <w:pPr>
        <w:pStyle w:val="Heading2"/>
      </w:pPr>
      <w:r>
        <w:t>{{sbaContent.s12_breakeven_title}}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588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Operating break-even (EBITDA = 0)</w:t>
            </w:r>
          </w:p>
        </w:tc>
        <w:tc>
          <w:tcPr>
            <w:tcW w:type="dxa" w:w="352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{{calc.breakeven_operating}} / yr</w:t>
            </w:r>
          </w:p>
        </w:tc>
      </w:tr>
      <w:tr>
        <w:trPr>
          <w:cantSplit/>
        </w:trPr>
        <w:tc>
          <w:tcPr>
            <w:tcW w:type="dxa" w:w="588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Coverage break-even (EBITDA = debt service)</w:t>
            </w:r>
          </w:p>
        </w:tc>
        <w:tc>
          <w:tcPr>
            <w:tcW w:type="dxa" w:w="352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{{calc.breakeven_coverage}} / yr</w:t>
            </w:r>
          </w:p>
        </w:tc>
      </w:tr>
      <w:tr>
        <w:trPr>
          <w:cantSplit/>
        </w:trPr>
        <w:tc>
          <w:tcPr>
            <w:tcW w:type="dxa" w:w="5882"/>
          </w:tcPr>
          <w:p>
            <w:pPr>
              <w:spacing w:after="60" w:before="60"/>
            </w:pPr>
            <w:r/>
            <w:r>
              <w:rPr>
                <w:sz w:val="19"/>
                <w:color w:val="5D6675" w:themeColor="accent4"/>
              </w:rPr>
              <w:t>Year-1 projected revenue</w:t>
            </w:r>
          </w:p>
        </w:tc>
        <w:tc>
          <w:tcPr>
            <w:tcW w:type="dxa" w:w="3529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{{storeRevenues.Total.amount_y1}}</w:t>
            </w:r>
          </w:p>
        </w:tc>
      </w:tr>
    </w:tbl>
    <w:p>
      <w:pPr>
        <w:spacing w:after="120" w:line="120" w:lineRule="exact"/>
      </w:pPr>
    </w:p>
    <w:p>
      <w:pPr>
        <w:pStyle w:val="Kicker"/>
      </w:pPr>
      <w:r>
        <w:t>Section 9</w:t>
      </w:r>
    </w:p>
    <w:p>
      <w:bookmarkStart w:id="11" w:name="sec11"/>
      <w:pPr>
        <w:pStyle w:val="Heading1"/>
        <w:pBdr>
          <w:bottom w:val="single" w:sz="12" w:space="4" w:color="2EDAE5" w:themeColor="accent3"/>
        </w:pBdr>
      </w:pPr>
      <w:r>
        <w:t>Collateral, Debt &amp; Guaranty</w:t>
      </w:r>
      <w:bookmarkEnd w:id="11"/>
    </w:p>
    <w:p>
      <w:pPr>
        <w:pStyle w:val="Heading2"/>
      </w:pPr>
      <w:r>
        <w:t>{{sbaContent.s13_collateral_title}}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2353"/>
        <w:gridCol w:w="2353"/>
        <w:gridCol w:w="2353"/>
        <w:gridCol w:w="2353"/>
      </w:tblGrid>
      <w:tr>
        <w:trPr>
          <w:cantSplit/>
        </w:trPr>
        <w:tc>
          <w:tcPr>
            <w:tcW w:type="dxa" w:w="4706"/>
            <w:shd w:val="clear" w:color="auto" w:fill="13294B" w:themeFill="accent1"/>
          </w:tcPr>
          <w:p>
            <w:pPr>
              <w:keepNext/>
              <w:spacing w:after="60" w:before="60"/>
            </w:pPr>
            <w:r/>
            <w:r>
              <w:rPr>
                <w:sz w:val="19"/>
                <w:b/>
                <w:color w:val="FFFFFF" w:themeColor="lt1"/>
              </w:rPr>
              <w:t>Asset</w:t>
            </w:r>
          </w:p>
        </w:tc>
        <w:tc>
          <w:tcPr>
            <w:tcW w:type="dxa" w:w="1588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Cost</w:t>
            </w:r>
          </w:p>
        </w:tc>
        <w:tc>
          <w:tcPr>
            <w:tcW w:type="dxa" w:w="1353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SBA disc.</w:t>
            </w:r>
          </w:p>
        </w:tc>
        <w:tc>
          <w:tcPr>
            <w:tcW w:type="dxa" w:w="1765"/>
            <w:shd w:val="clear" w:color="auto" w:fill="13294B" w:themeFill="accent1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  <w:b/>
                <w:color w:val="FFFFFF" w:themeColor="lt1"/>
              </w:rPr>
              <w:t>Collateral value</w:t>
            </w:r>
          </w:p>
        </w:tc>
      </w:tr>
      <w:tr>
        <w:trPr>
          <w:cantSplit/>
        </w:trPr>
        <w:tc>
          <w:tcPr>
            <w:tcW w:type="dxa" w:w="4706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{{storeCAPEX.Category1.name}}</w:t>
            </w:r>
          </w:p>
        </w:tc>
        <w:tc>
          <w:tcPr>
            <w:tcW w:type="dxa" w:w="1588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{{storeCAPEX.Category1.amount_CAPEX}}</w:t>
            </w:r>
          </w:p>
        </w:tc>
        <w:tc>
          <w:tcPr>
            <w:tcW w:type="dxa" w:w="1353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{{calc.collateral_discount_1}}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{{calc.collateral_value_1}}</w:t>
            </w:r>
          </w:p>
        </w:tc>
      </w:tr>
      <w:tr>
        <w:trPr>
          <w:cantSplit/>
        </w:trPr>
        <w:tc>
          <w:tcPr>
            <w:tcW w:type="dxa" w:w="4706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{{storeCAPEX.Category2.name}}</w:t>
            </w:r>
          </w:p>
        </w:tc>
        <w:tc>
          <w:tcPr>
            <w:tcW w:type="dxa" w:w="1588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{{storeCAPEX.Category2.amount_CAPEX}}</w:t>
            </w:r>
          </w:p>
        </w:tc>
        <w:tc>
          <w:tcPr>
            <w:tcW w:type="dxa" w:w="1353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{{calc.collateral_discount_2}}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{{calc.collateral_value_2}}</w:t>
            </w:r>
          </w:p>
        </w:tc>
      </w:tr>
      <w:tr>
        <w:trPr>
          <w:cantSplit/>
        </w:trPr>
        <w:tc>
          <w:tcPr>
            <w:tcW w:type="dxa" w:w="4706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{{storeCAPEX.Category3.name}}</w:t>
            </w:r>
          </w:p>
        </w:tc>
        <w:tc>
          <w:tcPr>
            <w:tcW w:type="dxa" w:w="1588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{{storeCAPEX.Category3.amount_CAPEX}}</w:t>
            </w:r>
          </w:p>
        </w:tc>
        <w:tc>
          <w:tcPr>
            <w:tcW w:type="dxa" w:w="1353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{{calc.collateral_discount_3}}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{{calc.collateral_value_3}}</w:t>
            </w:r>
          </w:p>
        </w:tc>
      </w:tr>
      <w:tr>
        <w:trPr>
          <w:cantSplit/>
        </w:trPr>
        <w:tc>
          <w:tcPr>
            <w:tcW w:type="dxa" w:w="4706"/>
          </w:tcPr>
          <w:p>
            <w:pPr>
              <w:keepNext/>
              <w:spacing w:after="60" w:before="60"/>
            </w:pPr>
            <w:r/>
            <w:r>
              <w:rPr>
                <w:sz w:val="19"/>
              </w:rPr>
              <w:t>{{storeCAPEX.Category4.name}}</w:t>
            </w:r>
          </w:p>
        </w:tc>
        <w:tc>
          <w:tcPr>
            <w:tcW w:type="dxa" w:w="1588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{{storeCAPEX.Category4.amount_CAPEX}}</w:t>
            </w:r>
          </w:p>
        </w:tc>
        <w:tc>
          <w:tcPr>
            <w:tcW w:type="dxa" w:w="1353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{{calc.collateral_discount_4}}</w:t>
            </w:r>
          </w:p>
        </w:tc>
        <w:tc>
          <w:tcPr>
            <w:tcW w:type="dxa" w:w="1765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{{calc.collateral_value_4}}</w:t>
            </w:r>
          </w:p>
        </w:tc>
      </w:tr>
      <w:tr>
        <w:trPr>
          <w:cantSplit/>
        </w:trPr>
        <w:tc>
          <w:tcPr>
            <w:tcW w:type="dxa" w:w="4706"/>
            <w:shd w:val="clear" w:color="auto" w:fill="F2F4F7" w:themeFill="lt2"/>
          </w:tcPr>
          <w:p>
            <w:pPr>
              <w:spacing w:after="60" w:before="60"/>
            </w:pPr>
            <w:r/>
            <w:r>
              <w:rPr>
                <w:b/>
                <w:sz w:val="19"/>
              </w:rPr>
              <w:t>Total discounted collateral</w:t>
            </w:r>
          </w:p>
        </w:tc>
        <w:tc>
          <w:tcPr>
            <w:tcW w:type="dxa" w:w="1588"/>
            <w:shd w:val="clear" w:color="auto" w:fill="F2F4F7" w:themeFill="lt2"/>
          </w:tcPr>
          <w:p>
            <w:pPr>
              <w:spacing w:after="60" w:before="60"/>
              <w:jc w:val="right"/>
            </w:pPr>
            <w:r/>
            <w:r>
              <w:rPr>
                <w:b/>
                <w:sz w:val="19"/>
              </w:rPr>
              <w:t>{{storeCAPEX.Total.amount_CAPEX}}</w:t>
            </w:r>
          </w:p>
        </w:tc>
        <w:tc>
          <w:tcPr>
            <w:tcW w:type="dxa" w:w="1353"/>
            <w:shd w:val="clear" w:color="auto" w:fill="F2F4F7" w:themeFill="lt2"/>
          </w:tcPr>
          <w:p>
            <w:pPr>
              <w:spacing w:after="60" w:before="60"/>
              <w:jc w:val="right"/>
            </w:pPr>
            <w:r/>
            <w:r>
              <w:rPr>
                <w:b/>
                <w:sz w:val="19"/>
              </w:rPr>
              <w:t>-</w:t>
            </w:r>
          </w:p>
        </w:tc>
        <w:tc>
          <w:tcPr>
            <w:tcW w:type="dxa" w:w="1765"/>
            <w:shd w:val="clear" w:color="auto" w:fill="F2F4F7" w:themeFill="lt2"/>
          </w:tcPr>
          <w:p>
            <w:pPr>
              <w:spacing w:after="60" w:before="60"/>
              <w:jc w:val="right"/>
            </w:pPr>
            <w:r/>
            <w:r>
              <w:rPr>
                <w:b/>
                <w:sz w:val="19"/>
              </w:rPr>
              <w:t>{{calc.collateral_value_total}}</w:t>
            </w:r>
          </w:p>
        </w:tc>
      </w:tr>
    </w:tbl>
    <w:p>
      <w:pPr>
        <w:spacing w:after="120" w:line="120" w:lineRule="exact"/>
      </w:pPr>
    </w:p>
    <w:p>
      <w:pPr>
        <w:pStyle w:val="Note"/>
      </w:pPr>
      <w:r>
        <w:t>{{sbaContent.s13_collateral_note}}</w:t>
      </w:r>
    </w:p>
    <w:p>
      <w:pPr>
        <w:pStyle w:val="Heading2"/>
      </w:pPr>
      <w:r>
        <w:t>{{sbaContent.s13_debt_title}}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Pre-existing business debt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{{calc.preexisting_debt}}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before="60"/>
            </w:pPr>
            <w:r/>
            <w:r>
              <w:rPr>
                <w:sz w:val="19"/>
                <w:color w:val="5D6675" w:themeColor="accent4"/>
              </w:rPr>
              <w:t>Proposed SBA 7(a) loan</w:t>
            </w:r>
          </w:p>
        </w:tc>
        <w:tc>
          <w:tcPr>
            <w:tcW w:type="dxa" w:w="5159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{{storeCompanyAntPrSize.loan_invest}}</w:t>
            </w:r>
          </w:p>
        </w:tc>
      </w:tr>
    </w:tbl>
    <w:p>
      <w:pPr>
        <w:spacing w:after="120" w:line="120" w:lineRule="exact"/>
      </w:pPr>
    </w:p>
    <w:p>
      <w:pPr>
        <w:pStyle w:val="Heading2"/>
      </w:pPr>
      <w:r>
        <w:t>{{sbaContent.s13_guaranty_title}}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9AA4B2" w:themeColor="accent6"/>
          <w:left w:val="nil" w:sz="4" w:color="9AA4B2" w:themeColor="accent6"/>
          <w:bottom w:val="single" w:sz="4" w:color="9AA4B2" w:themeColor="accent6"/>
          <w:right w:val="nil" w:sz="4" w:color="9AA4B2" w:themeColor="accent6"/>
          <w:insideH w:val="single" w:sz="4" w:color="9AA4B2" w:themeColor="accent6"/>
          <w:insideV w:val="nil" w:sz="4" w:color="9AA4B2" w:themeColor="accent6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252"/>
          </w:tcPr>
          <w:p>
            <w:pPr>
              <w:keepNext/>
              <w:spacing w:after="60" w:before="60"/>
            </w:pPr>
            <w:r/>
            <w:r>
              <w:rPr>
                <w:sz w:val="19"/>
                <w:color w:val="5D6675" w:themeColor="accent4"/>
              </w:rPr>
              <w:t>Equity injection</w:t>
            </w:r>
          </w:p>
        </w:tc>
        <w:tc>
          <w:tcPr>
            <w:tcW w:type="dxa" w:w="5159"/>
          </w:tcPr>
          <w:p>
            <w:pPr>
              <w:keepNext/>
              <w:spacing w:after="60" w:before="60"/>
              <w:jc w:val="right"/>
            </w:pPr>
            <w:r/>
            <w:r>
              <w:rPr>
                <w:sz w:val="19"/>
              </w:rPr>
              <w:t>{{sbaData.equity_injection}} ({{calc.equity_injection_pct}})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before="60"/>
            </w:pPr>
            <w:r/>
            <w:r>
              <w:rPr>
                <w:sz w:val="19"/>
                <w:color w:val="5D6675" w:themeColor="accent4"/>
              </w:rPr>
              <w:t>Personal guaranty &amp; Form 413</w:t>
            </w:r>
          </w:p>
        </w:tc>
        <w:tc>
          <w:tcPr>
            <w:tcW w:type="dxa" w:w="5159"/>
          </w:tcPr>
          <w:p>
            <w:pPr>
              <w:spacing w:after="60" w:before="60"/>
              <w:jc w:val="right"/>
            </w:pPr>
            <w:r/>
            <w:r>
              <w:rPr>
                <w:sz w:val="19"/>
              </w:rPr>
              <w:t>Required of all 20%+ owners</w:t>
            </w:r>
          </w:p>
        </w:tc>
      </w:tr>
    </w:tbl>
    <w:p>
      <w:pPr>
        <w:spacing w:after="120" w:line="120" w:lineRule="exact"/>
      </w:pPr>
    </w:p>
    <w:p>
      <w:pPr>
        <w:pStyle w:val="Kicker"/>
      </w:pPr>
      <w:r>
        <w:t>Section 10</w:t>
      </w:r>
    </w:p>
    <w:p>
      <w:bookmarkStart w:id="12" w:name="sec12"/>
      <w:pPr>
        <w:pStyle w:val="Heading1"/>
        <w:pBdr>
          <w:bottom w:val="single" w:sz="12" w:space="4" w:color="2EDAE5" w:themeColor="accent3"/>
        </w:pBdr>
      </w:pPr>
      <w:r>
        <w:t>Appendix &amp; Required Documents</w:t>
      </w:r>
      <w:bookmarkEnd w:id="12"/>
    </w:p>
    <w:p>
      <w:pPr/>
      <w:r>
        <w:t>{{sbaContent.s14_intro}}</w:t>
      </w:r>
    </w:p>
    <w:p>
      <w:pPr>
        <w:spacing w:after="80"/>
        <w:ind w:left="283"/>
      </w:pPr>
      <w:r>
        <w:t>☐   {{sbaContent.s14_doc_1}}</w:t>
      </w:r>
    </w:p>
    <w:p>
      <w:pPr>
        <w:spacing w:after="80"/>
        <w:ind w:left="283"/>
      </w:pPr>
      <w:r>
        <w:t>☐   {{sbaContent.s14_doc_2}}</w:t>
      </w:r>
    </w:p>
    <w:p>
      <w:pPr>
        <w:spacing w:after="80"/>
        <w:ind w:left="283"/>
      </w:pPr>
      <w:r>
        <w:t>☐   {{sbaContent.s14_doc_3}}</w:t>
      </w:r>
    </w:p>
    <w:p>
      <w:pPr>
        <w:spacing w:after="80"/>
        <w:ind w:left="283"/>
      </w:pPr>
      <w:r>
        <w:t>☐   {{sbaContent.s14_doc_4}}</w:t>
      </w:r>
    </w:p>
    <w:p>
      <w:pPr>
        <w:spacing w:after="80"/>
        <w:ind w:left="283"/>
      </w:pPr>
      <w:r>
        <w:t>☐   {{sbaContent.s14_doc_5}}</w:t>
      </w:r>
    </w:p>
    <w:p>
      <w:pPr>
        <w:spacing w:after="80"/>
        <w:ind w:left="283"/>
      </w:pPr>
      <w:r>
        <w:t>☐   {{sbaContent.s14_doc_6}}</w:t>
      </w:r>
    </w:p>
    <w:p>
      <w:pPr>
        <w:spacing w:after="80"/>
        <w:ind w:left="283"/>
      </w:pPr>
      <w:r>
        <w:t>☐   {{sbaContent.s14_doc_7}}</w:t>
      </w:r>
    </w:p>
    <w:p>
      <w:pPr>
        <w:spacing w:after="80"/>
        <w:ind w:left="283"/>
      </w:pPr>
      <w:r>
        <w:t>☐   {{sbaContent.s14_doc_8}}</w:t>
      </w:r>
    </w:p>
    <w:p>
      <w:pPr>
        <w:spacing w:after="80"/>
        <w:ind w:left="283"/>
      </w:pPr>
      <w:r>
        <w:t>☐   {{sbaContent.s14_doc_9}}</w:t>
      </w:r>
    </w:p>
    <w:p>
      <w:pPr>
        <w:spacing w:after="80"/>
        <w:ind w:left="283"/>
      </w:pPr>
      <w:r>
        <w:t>☐   {{sbaContent.s14_doc_10}}</w:t>
      </w:r>
    </w:p>
    <w:p>
      <w:pPr>
        <w:pStyle w:val="Note"/>
      </w:pPr>
      <w:r>
        <w:t>{{sbaContent.s14_note}}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sz w:val="15"/>
        <w:color w:val="5D6675" w:themeColor="accent4"/>
      </w:rPr>
      <w:t>CONFIDENTIAL. Proprietary information of {{storeCompanyName.value}}, provided solely to evaluate a financing request. Follows the SBA-recommended business-plan structure; not an SBA-issued form.</w:t>
    </w:r>
  </w:p>
  <w:p>
    <w:pPr>
      <w:jc w:val="center"/>
    </w:pPr>
    <w:r>
      <w:rPr>
        <w:sz w:val="15"/>
        <w:color w:val="5D6675" w:themeColor="accent4"/>
      </w:rPr>
      <w:t xml:space="preserve">Page </w:t>
    </w:r>
    <w:r>
      <w:rPr>
        <w:sz w:val="15"/>
        <w:color w:val="5D6675" w:themeColor="accent4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2EDAE5" w:themeColor="accent3"/>
      </w:pBdr>
    </w:pPr>
    <w:r/>
    <w:r>
      <w:rPr>
        <w:b/>
        <w:sz w:val="18"/>
        <w:color w:val="13294B" w:themeColor="accent1"/>
      </w:rPr>
      <w:t>{{storeCompanyName.value}}</w:t>
    </w:r>
    <w:r>
      <w:rPr>
        <w:sz w:val="18"/>
      </w:rPr>
      <w:t xml:space="preserve">   |   Business Plan &amp; SBA 7(a) Loan Request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160"/>
    </w:pPr>
    <w:rPr>
      <w:rFonts w:asciiTheme="minorHAnsi" w:hAnsiTheme="minorHAnsi" w:cstheme="minorHAnsi" w:eastAsiaTheme="minorHAnsi"/>
      <w:b w:val="0"/>
      <w:i w:val="0"/>
      <w:caps w:val="0"/>
      <w:sz w:val="20"/>
      <w:color w:val="1A1F29" w:themeColor="dk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80"/>
      <w:outlineLvl w:val="0"/>
    </w:pPr>
    <w:rPr>
      <w:rFonts w:asciiTheme="majorHAnsi" w:hAnsiTheme="majorHAnsi" w:cstheme="majorHAnsi" w:eastAsiaTheme="majorHAnsi"/>
      <w:b/>
      <w:bCs/>
      <w:i w:val="0"/>
      <w:caps w:val="0"/>
      <w:sz w:val="42"/>
      <w:szCs w:val="28"/>
      <w:color w:val="13294B" w:themeColor="accent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Theme="majorHAnsi" w:hAnsiTheme="majorHAnsi" w:cstheme="majorHAnsi" w:eastAsiaTheme="majorHAnsi"/>
      <w:b/>
      <w:bCs/>
      <w:i w:val="0"/>
      <w:caps w:val="0"/>
      <w:sz w:val="24"/>
      <w:szCs w:val="26"/>
      <w:color w:val="13294B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numPr>
        <w:numId w:val="1"/>
      </w:numPr>
      <w:spacing w:before="0" w:after="100"/>
      <w:contextualSpacing/>
    </w:pPr>
    <w:rPr>
      <w:rFonts w:asciiTheme="minorHAnsi" w:hAnsiTheme="minorHAnsi" w:cstheme="minorHAnsi" w:eastAsiaTheme="minorHAnsi"/>
      <w:b w:val="0"/>
      <w:i w:val="0"/>
      <w:caps w:val="0"/>
      <w:sz w:val="20"/>
      <w:color w:val="1A1F29" w:themeColor="dk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basedOn w:val="Normal"/>
    <w:pPr>
      <w:keepNext/>
      <w:spacing w:before="600" w:after="40"/>
    </w:pPr>
    <w:rPr>
      <w:rFonts w:asciiTheme="minorHAnsi" w:hAnsiTheme="minorHAnsi" w:cstheme="minorHAnsi" w:eastAsiaTheme="minorHAnsi"/>
      <w:b/>
      <w:i w:val="0"/>
      <w:caps/>
      <w:sz w:val="18"/>
      <w:color w:val="1F5FBF" w:themeColor="accent2"/>
    </w:rPr>
  </w:style>
  <w:style w:type="paragraph" w:customStyle="1" w:styleId="Small">
    <w:name w:val="Small"/>
    <w:basedOn w:val="Normal"/>
    <w:pPr>
      <w:keepNext w:val="0"/>
      <w:spacing w:before="0" w:after="120"/>
    </w:pPr>
    <w:rPr>
      <w:rFonts w:asciiTheme="minorHAnsi" w:hAnsiTheme="minorHAnsi" w:cstheme="minorHAnsi" w:eastAsiaTheme="minorHAnsi"/>
      <w:b w:val="0"/>
      <w:i w:val="0"/>
      <w:caps w:val="0"/>
      <w:sz w:val="17"/>
      <w:color w:val="5D6675" w:themeColor="accent4"/>
    </w:rPr>
  </w:style>
  <w:style w:type="paragraph" w:customStyle="1" w:styleId="Note">
    <w:name w:val="Note"/>
    <w:basedOn w:val="Normal"/>
    <w:pPr>
      <w:keepNext w:val="0"/>
      <w:spacing w:before="40" w:after="200"/>
    </w:pPr>
    <w:rPr>
      <w:rFonts w:asciiTheme="minorHAnsi" w:hAnsiTheme="minorHAnsi" w:cstheme="minorHAnsi" w:eastAsiaTheme="minorHAnsi"/>
      <w:b w:val="0"/>
      <w:i/>
      <w:caps w:val="0"/>
      <w:sz w:val="18"/>
      <w:color w:val="5D6675" w:themeColor="accent4"/>
    </w:rPr>
  </w:style>
  <w:style w:type="paragraph" w:customStyle="1" w:styleId="CoverTitle">
    <w:name w:val="Cover Title"/>
    <w:basedOn w:val="Normal"/>
    <w:pPr>
      <w:keepNext w:val="0"/>
      <w:spacing w:before="0" w:after="80"/>
    </w:pPr>
    <w:rPr>
      <w:rFonts w:asciiTheme="majorHAnsi" w:hAnsiTheme="majorHAnsi" w:cstheme="majorHAnsi" w:eastAsiaTheme="majorHAnsi"/>
      <w:b/>
      <w:i w:val="0"/>
      <w:caps w:val="0"/>
      <w:sz w:val="60"/>
      <w:color w:val="13294B" w:themeColor="accent1"/>
    </w:rPr>
  </w:style>
  <w:style w:type="paragraph" w:customStyle="1" w:styleId="CoverSub">
    <w:name w:val="Cover Sub"/>
    <w:basedOn w:val="Normal"/>
    <w:pPr>
      <w:keepNext w:val="0"/>
      <w:spacing w:before="0" w:after="360"/>
    </w:pPr>
    <w:rPr>
      <w:rFonts w:asciiTheme="majorHAnsi" w:hAnsiTheme="majorHAnsi" w:cstheme="majorHAnsi" w:eastAsiaTheme="majorHAnsi"/>
      <w:b w:val="0"/>
      <w:i w:val="0"/>
      <w:caps w:val="0"/>
      <w:sz w:val="28"/>
      <w:color w:val="1F5FBF" w:themeColor="accent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1A1F29"/>
      </a:dk1>
      <a:lt1>
        <a:srgbClr val="FFFFFF"/>
      </a:lt1>
      <a:dk2>
        <a:srgbClr val="13294B"/>
      </a:dk2>
      <a:lt2>
        <a:srgbClr val="F2F4F7"/>
      </a:lt2>
      <a:accent1>
        <a:srgbClr val="13294B"/>
      </a:accent1>
      <a:accent2>
        <a:srgbClr val="1F5FBF"/>
      </a:accent2>
      <a:accent3>
        <a:srgbClr val="2EDAE5"/>
      </a:accent3>
      <a:accent4>
        <a:srgbClr val="5D6675"/>
      </a:accent4>
      <a:accent5>
        <a:srgbClr val="2B3744"/>
      </a:accent5>
      <a:accent6>
        <a:srgbClr val="9AA4B2"/>
      </a:accent6>
      <a:hlink>
        <a:srgbClr val="1F5FBF"/>
      </a:hlink>
      <a:folHlink>
        <a:srgbClr val="5D6675"/>
      </a:folHlink>
    </a:clrScheme>
    <a:fontScheme name="Office">
      <a:majorFont>
        <a:latin typeface="Trebuchet MS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